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384F68" w:rsidRDefault="00CF26CB">
      <w:pPr>
        <w:jc w:val="both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3 (Framework Prices)</w:t>
      </w:r>
    </w:p>
    <w:p w14:paraId="00000002" w14:textId="77777777" w:rsidR="00384F68" w:rsidRDefault="00CF26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  <w:sz w:val="24"/>
          <w:szCs w:val="24"/>
        </w:rPr>
        <w:t>How Framework Prices are used to calculate Call-Off Charges</w:t>
      </w:r>
    </w:p>
    <w:p w14:paraId="00000003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Framework Prices: </w:t>
      </w:r>
    </w:p>
    <w:p w14:paraId="00000004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440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will be used as the basis for the charges (and are maximums that the Supplier may charge) under each Call Off Contract; and</w:t>
      </w:r>
    </w:p>
    <w:p w14:paraId="00000005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cannot be increased except as in accordance with this Schedule.</w:t>
      </w:r>
    </w:p>
    <w:p w14:paraId="00000006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Charges:</w:t>
      </w:r>
    </w:p>
    <w:p w14:paraId="00000007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shall be calculated in accordance with the terms of the Call Off Contract and in particular in accordance with the terms of the Order Form; </w:t>
      </w:r>
    </w:p>
    <w:p w14:paraId="00000008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cannot be increased except as specific</w:t>
      </w:r>
      <w:r>
        <w:rPr>
          <w:rFonts w:ascii="Arial" w:eastAsia="Arial" w:hAnsi="Arial" w:cs="Arial"/>
          <w:color w:val="000000"/>
          <w:sz w:val="24"/>
          <w:szCs w:val="24"/>
        </w:rPr>
        <w:t>ally permitted by the Call Off Contract and in particular shall only be subject to Indexation where specifically stated in the Order Form; and</w:t>
      </w:r>
    </w:p>
    <w:p w14:paraId="00000009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shall not be impacted by any change to the Framework Prices. </w:t>
      </w:r>
    </w:p>
    <w:p w14:paraId="0000000A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yxdev1mctf20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Any variation to the Charges payable under a Call Off Contract must be agreed between the Supplier and the Buyer</w:t>
      </w:r>
      <w:r>
        <w:rPr>
          <w:rFonts w:ascii="Arial" w:eastAsia="Arial" w:hAnsi="Arial" w:cs="Arial"/>
          <w:sz w:val="24"/>
          <w:szCs w:val="24"/>
        </w:rPr>
        <w:t>.</w:t>
      </w:r>
    </w:p>
    <w:p w14:paraId="0000000B" w14:textId="77777777" w:rsidR="00384F68" w:rsidRDefault="00CF26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b/>
          <w:sz w:val="24"/>
          <w:szCs w:val="24"/>
        </w:rPr>
        <w:t>How Framework Prices are calculated</w:t>
      </w:r>
    </w:p>
    <w:p w14:paraId="0000000C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pricing mechanisms and prices set out in Annex 1 shall be available for use in calculation of Framewor</w:t>
      </w:r>
      <w:r>
        <w:rPr>
          <w:rFonts w:ascii="Arial" w:eastAsia="Arial" w:hAnsi="Arial" w:cs="Arial"/>
          <w:color w:val="000000"/>
          <w:sz w:val="24"/>
          <w:szCs w:val="24"/>
        </w:rPr>
        <w:t>k Prices in Call Off Contracts.</w:t>
      </w:r>
    </w:p>
    <w:p w14:paraId="0000000D" w14:textId="77777777" w:rsidR="00384F68" w:rsidRDefault="00CF26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3" w:name="bookmark=id.3znysh7" w:colFirst="0" w:colLast="0"/>
      <w:bookmarkStart w:id="4" w:name="_heading=h.1fob9te" w:colFirst="0" w:colLast="0"/>
      <w:bookmarkEnd w:id="3"/>
      <w:bookmarkEnd w:id="4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Are costs and expenses are included in the Framework 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>Prices</w:t>
      </w:r>
      <w:proofErr w:type="gramEnd"/>
    </w:p>
    <w:p w14:paraId="0000000E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Except as expressly set out in Paragraph 4 below, or otherwise stated in a Call Off Order Form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the Framework Prices shall include all costs and expenses relating to the provision of Deliverables. No further amounts shall be payable in respect of matters such as:</w:t>
      </w:r>
    </w:p>
    <w:p w14:paraId="0000000F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0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incidental expenses such as lodging, document or report reproduction, shipping, desktop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or office equipment costs, network or data interchange costs or other telecommunications charges; or</w:t>
      </w:r>
    </w:p>
    <w:p w14:paraId="00000010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0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costs incurred prior to the commencement of any Call Off Contract.</w:t>
      </w:r>
    </w:p>
    <w:p w14:paraId="00000011" w14:textId="77777777" w:rsidR="00384F68" w:rsidRDefault="00CF26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>
        <w:rPr>
          <w:rFonts w:ascii="Arial" w:eastAsia="Arial" w:hAnsi="Arial" w:cs="Arial"/>
          <w:b/>
          <w:color w:val="000000"/>
          <w:sz w:val="24"/>
          <w:szCs w:val="24"/>
        </w:rPr>
        <w:t>Other events that allow the Supplier to change the Framework Prices</w:t>
      </w:r>
    </w:p>
    <w:p w14:paraId="00000012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Framework Prices can also be varied (and Annex 1 will be updated accordingly) due to:</w:t>
      </w:r>
    </w:p>
    <w:p w14:paraId="00000013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Specific Change in Law in accordance with Clause 24;</w:t>
      </w:r>
    </w:p>
    <w:p w14:paraId="00000014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review in accordance with insurance requirements in Clause 13; </w:t>
      </w:r>
    </w:p>
    <w:p w14:paraId="00000015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benchmarking review in accordance with Call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Off Schedule 16 (Benchmarking)]</w:t>
      </w:r>
    </w:p>
    <w:p w14:paraId="00000016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request from the Supplier, which it can make at any time, to decrease the Framework Prices; and</w:t>
      </w:r>
    </w:p>
    <w:p w14:paraId="00000017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indexation, where Annex 1 states that a particular Framework Price or any component is “subject to Indexation” in which event Paragraph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below shall apply.</w:t>
      </w:r>
    </w:p>
    <w:p w14:paraId="00000018" w14:textId="77777777" w:rsidR="00384F68" w:rsidRDefault="00CF26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the Framework Prices are linked to inflation</w:t>
      </w:r>
    </w:p>
    <w:p w14:paraId="00000019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the Framework Charges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are stated to be "subject to Indexation" they shall be adjusted in line with changes in the Service Producer Price Index ("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PPI") - M7430.  All other costs, expenses, fees and charges shall not be adjusted to take account of any inflation, change to excha</w:t>
      </w:r>
      <w:r>
        <w:rPr>
          <w:rFonts w:ascii="Arial" w:eastAsia="Arial" w:hAnsi="Arial" w:cs="Arial"/>
          <w:color w:val="000000"/>
          <w:sz w:val="24"/>
          <w:szCs w:val="24"/>
        </w:rPr>
        <w:t>nge rate, change to interest rate or any other factor or element which might otherwise increase the cost to the Supplier.</w:t>
      </w:r>
    </w:p>
    <w:p w14:paraId="0000001A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Framework Prices shall not be indexed during the first 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2  </w:t>
      </w:r>
      <w:r>
        <w:rPr>
          <w:rFonts w:ascii="Arial" w:eastAsia="Arial" w:hAnsi="Arial" w:cs="Arial"/>
          <w:b/>
          <w:sz w:val="24"/>
          <w:szCs w:val="24"/>
        </w:rPr>
        <w:t>years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 following the Framework Contract Commencement Date.  </w:t>
      </w:r>
    </w:p>
    <w:p w14:paraId="0000001B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Annex 1 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tates a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Framework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Price is subject to Indexation then it will be indexed on the date which is </w:t>
      </w:r>
      <w:r>
        <w:rPr>
          <w:rFonts w:ascii="Arial" w:eastAsia="Arial" w:hAnsi="Arial" w:cs="Arial"/>
          <w:b/>
          <w:sz w:val="24"/>
          <w:szCs w:val="24"/>
        </w:rPr>
        <w:t>two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years after the Framework Commencement Date to reflect the percentage change in the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PPI since the Framework Commencement Date.  They shall be indexed on each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following yearly anniversary to reflect the percentage change in the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PPI since the previous change.</w:t>
      </w:r>
    </w:p>
    <w:p w14:paraId="0000001C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the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PPI Index is:</w:t>
      </w:r>
    </w:p>
    <w:p w14:paraId="0000001D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used to carry out an indexation calculation but is then updated (for example due to it being provisional) then the indexation calculation shall also be updated unless C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and the Supplier agree otherwise; </w:t>
      </w:r>
    </w:p>
    <w:p w14:paraId="0000001E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is no longer published, CCS and the Supplier shall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agree a fair and reasonable replacement that will have substantially the same effect.</w:t>
      </w:r>
    </w:p>
    <w:p w14:paraId="0000001F" w14:textId="77777777" w:rsidR="00384F68" w:rsidRDefault="00CF26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will be reimbursed for travel and subsistence</w:t>
      </w:r>
    </w:p>
    <w:p w14:paraId="00000020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Expenses shall only be recoverable where:</w:t>
      </w:r>
    </w:p>
    <w:p w14:paraId="00000021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0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Order Form states that recovery is permitted; and</w:t>
      </w:r>
    </w:p>
    <w:p w14:paraId="00000022" w14:textId="77777777" w:rsidR="00384F68" w:rsidRDefault="00CF26C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0"/>
        </w:tabs>
        <w:spacing w:before="120" w:after="120" w:line="240" w:lineRule="auto"/>
        <w:ind w:left="198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they are Reimbursable Expenses in accordance with section 19 of Framework Schedule 1 (Specification) and are supported by Supporting Documentation.</w:t>
      </w:r>
    </w:p>
    <w:p w14:paraId="00000023" w14:textId="77777777" w:rsidR="00384F68" w:rsidRDefault="00CF26C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5" w:name="_heading=h.3dy6vkm" w:colFirst="0" w:colLast="0"/>
      <w:bookmarkEnd w:id="5"/>
      <w:r>
        <w:rPr>
          <w:rFonts w:ascii="Arial" w:eastAsia="Arial" w:hAnsi="Arial" w:cs="Arial"/>
          <w:color w:val="000000"/>
          <w:sz w:val="24"/>
          <w:szCs w:val="24"/>
        </w:rPr>
        <w:t>The Buyer shall provide a copy of their current expenses policy to the Supplier upon request.</w:t>
      </w:r>
    </w:p>
    <w:p w14:paraId="00000024" w14:textId="77777777" w:rsidR="00384F68" w:rsidRDefault="00384F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left="644" w:hanging="360"/>
        <w:jc w:val="both"/>
        <w:rPr>
          <w:rFonts w:ascii="Arial Bold" w:eastAsia="Arial Bold" w:hAnsi="Arial Bold" w:cs="Arial Bold"/>
          <w:b/>
          <w:smallCaps/>
          <w:color w:val="000000"/>
        </w:rPr>
      </w:pPr>
    </w:p>
    <w:p w14:paraId="00000025" w14:textId="77777777" w:rsidR="00384F68" w:rsidRDefault="00384F68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656" w:hanging="137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6" w14:textId="77777777" w:rsidR="00384F68" w:rsidRDefault="00CF26CB">
      <w:pPr>
        <w:jc w:val="both"/>
        <w:rPr>
          <w:rFonts w:ascii="Arial" w:eastAsia="Arial" w:hAnsi="Arial" w:cs="Arial"/>
          <w:b/>
          <w:sz w:val="36"/>
          <w:szCs w:val="36"/>
        </w:rPr>
      </w:pPr>
      <w:bookmarkStart w:id="6" w:name="_heading=h.1t3h5sf" w:colFirst="0" w:colLast="0"/>
      <w:bookmarkEnd w:id="6"/>
      <w:r>
        <w:br w:type="page"/>
      </w:r>
      <w:bookmarkStart w:id="7" w:name="_GoBack"/>
      <w:bookmarkEnd w:id="7"/>
      <w:r>
        <w:rPr>
          <w:rFonts w:ascii="Arial" w:eastAsia="Arial" w:hAnsi="Arial" w:cs="Arial"/>
          <w:b/>
          <w:sz w:val="36"/>
          <w:szCs w:val="36"/>
        </w:rPr>
        <w:lastRenderedPageBreak/>
        <w:t>Annex 1: Rates and Prices</w:t>
      </w:r>
    </w:p>
    <w:p w14:paraId="00000027" w14:textId="71DBACD6" w:rsidR="00384F68" w:rsidRDefault="001D3103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-142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1D3103">
        <w:rPr>
          <w:rFonts w:ascii="Arial" w:eastAsia="Arial" w:hAnsi="Arial" w:cs="Arial"/>
          <w:sz w:val="24"/>
          <w:szCs w:val="24"/>
          <w:highlight w:val="yellow"/>
        </w:rPr>
        <w:t>[insert Pricing Schedule here]</w:t>
      </w:r>
      <w:r w:rsidR="00CF26CB">
        <w:rPr>
          <w:rFonts w:ascii="Arial" w:eastAsia="Arial" w:hAnsi="Arial" w:cs="Arial"/>
          <w:sz w:val="24"/>
          <w:szCs w:val="24"/>
        </w:rPr>
        <w:t xml:space="preserve"> </w:t>
      </w:r>
    </w:p>
    <w:p w14:paraId="00000028" w14:textId="77777777" w:rsidR="00384F68" w:rsidRDefault="00384F68">
      <w:pPr>
        <w:jc w:val="both"/>
        <w:rPr>
          <w:rFonts w:ascii="Arial" w:eastAsia="Arial" w:hAnsi="Arial" w:cs="Arial"/>
          <w:b/>
          <w:sz w:val="24"/>
          <w:szCs w:val="24"/>
        </w:rPr>
        <w:sectPr w:rsidR="00384F6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888" w:right="1440" w:bottom="1440" w:left="1440" w:header="709" w:footer="709" w:gutter="0"/>
          <w:pgNumType w:start="1"/>
          <w:cols w:space="720"/>
        </w:sectPr>
      </w:pPr>
    </w:p>
    <w:p w14:paraId="00000029" w14:textId="77777777" w:rsidR="00384F68" w:rsidRDefault="00384F68">
      <w:pPr>
        <w:jc w:val="both"/>
        <w:rPr>
          <w:rFonts w:ascii="Arial" w:eastAsia="Arial" w:hAnsi="Arial" w:cs="Arial"/>
          <w:b/>
          <w:sz w:val="24"/>
          <w:szCs w:val="24"/>
        </w:rPr>
      </w:pPr>
    </w:p>
    <w:sectPr w:rsidR="00384F68">
      <w:pgSz w:w="11906" w:h="16838"/>
      <w:pgMar w:top="1888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F2E97" w14:textId="77777777" w:rsidR="00CF26CB" w:rsidRDefault="00CF26CB">
      <w:pPr>
        <w:spacing w:after="0" w:line="240" w:lineRule="auto"/>
      </w:pPr>
      <w:r>
        <w:separator/>
      </w:r>
    </w:p>
  </w:endnote>
  <w:endnote w:type="continuationSeparator" w:id="0">
    <w:p w14:paraId="76E2A6B8" w14:textId="77777777" w:rsidR="00CF26CB" w:rsidRDefault="00CF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1" w14:textId="77777777" w:rsidR="00384F68" w:rsidRDefault="00CF26C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RM6302 - Language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32" w14:textId="06AEBE40" w:rsidR="00384F68" w:rsidRDefault="00CF26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1D3103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D3103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3" w14:textId="77777777" w:rsidR="00384F68" w:rsidRDefault="00CF26CB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color w:val="BFBFBF"/>
      </w:rPr>
      <w:tab/>
    </w:r>
    <w:r>
      <w:rPr>
        <w:color w:val="BFBFBF"/>
      </w:rPr>
      <w:tab/>
    </w:r>
    <w:r>
      <w:rPr>
        <w:color w:val="BFBF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E" w14:textId="77777777" w:rsidR="00384F68" w:rsidRDefault="00CF26CB">
    <w:pPr>
      <w:tabs>
        <w:tab w:val="center" w:pos="4513"/>
        <w:tab w:val="right" w:pos="9026"/>
      </w:tabs>
      <w:spacing w:after="0"/>
    </w:pPr>
    <w:r>
      <w:t>Framework Ref: RM</w:t>
    </w:r>
    <w:r>
      <w:tab/>
      <w:t xml:space="preserve">                                           </w:t>
    </w:r>
  </w:p>
  <w:p w14:paraId="0000002F" w14:textId="77777777" w:rsidR="00384F68" w:rsidRDefault="00CF26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0" w14:textId="77777777" w:rsidR="00384F68" w:rsidRDefault="00CF26CB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84DA0" w14:textId="77777777" w:rsidR="00CF26CB" w:rsidRDefault="00CF26CB">
      <w:pPr>
        <w:spacing w:after="0" w:line="240" w:lineRule="auto"/>
      </w:pPr>
      <w:r>
        <w:separator/>
      </w:r>
    </w:p>
  </w:footnote>
  <w:footnote w:type="continuationSeparator" w:id="0">
    <w:p w14:paraId="68C9DDE2" w14:textId="77777777" w:rsidR="00CF26CB" w:rsidRDefault="00CF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C" w14:textId="77777777" w:rsidR="00384F68" w:rsidRDefault="00CF26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(Framework Prices)</w:t>
    </w:r>
  </w:p>
  <w:p w14:paraId="0000002D" w14:textId="77777777" w:rsidR="00384F68" w:rsidRDefault="00CF26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A" w14:textId="77777777" w:rsidR="00384F68" w:rsidRDefault="00CF26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(Framework Prices)</w:t>
    </w:r>
  </w:p>
  <w:p w14:paraId="0000002B" w14:textId="77777777" w:rsidR="00384F68" w:rsidRDefault="00CF26C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A7A91"/>
    <w:multiLevelType w:val="multilevel"/>
    <w:tmpl w:val="9992044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A5B20C5"/>
    <w:multiLevelType w:val="multilevel"/>
    <w:tmpl w:val="A4C2210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F68"/>
    <w:rsid w:val="001D3103"/>
    <w:rsid w:val="00384F68"/>
    <w:rsid w:val="00C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6EDD4"/>
  <w15:docId w15:val="{9E2A5E96-1B85-4293-9EEA-F5BC689CD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  <w:tab w:val="num" w:pos="21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OyKG/sC2JYAc12QUL4Wdr9SiLA==">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Alison Jones</cp:lastModifiedBy>
  <cp:revision>2</cp:revision>
  <dcterms:created xsi:type="dcterms:W3CDTF">2018-06-14T15:09:00Z</dcterms:created>
  <dcterms:modified xsi:type="dcterms:W3CDTF">2024-08-20T08:12:00Z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